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after="100" w:line="360" w:lineRule="auto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供 应 商 报 价 表</w:t>
      </w:r>
    </w:p>
    <w:p>
      <w:pPr>
        <w:widowControl/>
        <w:shd w:val="clear" w:color="auto" w:fill="FFFFFF"/>
        <w:spacing w:before="100" w:after="100" w:line="360" w:lineRule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供应商名称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 xml:space="preserve">                          年    月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</w:rPr>
        <w:t xml:space="preserve">  日</w:t>
      </w:r>
    </w:p>
    <w:tbl>
      <w:tblPr>
        <w:tblStyle w:val="3"/>
        <w:tblpPr w:leftFromText="180" w:rightFromText="180" w:vertAnchor="page" w:horzAnchor="page" w:tblpX="1437" w:tblpY="2966"/>
        <w:tblOverlap w:val="never"/>
        <w:tblW w:w="9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599"/>
        <w:gridCol w:w="2552"/>
        <w:gridCol w:w="1717"/>
        <w:gridCol w:w="2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车牌号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车型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交强险报价</w:t>
            </w: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highlight w:val="none"/>
                <w:lang w:val="en-US" w:eastAsia="zh-CN"/>
              </w:rPr>
              <w:t>商业险报价（第三者责任险100万，人员责任险，机动车损失险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京ADL3095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京AE93399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京AE97228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京AE97358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京AE97875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京AEJ6387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京AEK7236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京AEN1768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京AEN7986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京AEN9657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轻型厢式货车-冷藏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03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599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京AE90289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新能源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轻型厢式货车</w:t>
            </w:r>
          </w:p>
        </w:tc>
        <w:tc>
          <w:tcPr>
            <w:tcW w:w="1717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965" w:type="dxa"/>
            <w:shd w:val="clear" w:color="auto" w:fill="auto"/>
            <w:noWrap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注：报价表格式供应商可自行拟定，报价需清晰列明保费、车船税、险种明细。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955684"/>
    <w:rsid w:val="6F087C83"/>
    <w:rsid w:val="7A2C73AA"/>
    <w:rsid w:val="7CE823FA"/>
    <w:rsid w:val="7F52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</w:pPr>
    <w:rPr>
      <w:rFonts w:ascii="宋体" w:hAnsi="宋体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2026-10-14T06:11:00Z</dcterms:created>
  <dc:creator>zhaixiang</dc:creator>
  <cp:lastModifiedBy>cuimiao</cp:lastModifiedBy>
  <dcterms:modified xsi:type="dcterms:W3CDTF">2026-10-14T07:34:50Z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26CCB491E75B400DB7E90B7617CA0980_12</vt:lpwstr>
  </property>
</Properties>
</file>